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F4" w:rsidRDefault="003A11F4" w:rsidP="003A11F4">
      <w:pPr>
        <w:widowControl w:val="0"/>
        <w:spacing w:line="360" w:lineRule="auto"/>
        <w:ind w:firstLine="4"/>
        <w:jc w:val="center"/>
        <w:rPr>
          <w:b/>
          <w:snapToGrid w:val="0"/>
          <w:sz w:val="24"/>
          <w:szCs w:val="24"/>
        </w:rPr>
      </w:pPr>
      <w:r>
        <w:rPr>
          <w:b/>
          <w:snapToGrid w:val="0"/>
          <w:sz w:val="24"/>
          <w:szCs w:val="24"/>
        </w:rPr>
        <w:t>Обязательная информация</w:t>
      </w:r>
    </w:p>
    <w:p w:rsidR="003A11F4" w:rsidRDefault="003A11F4" w:rsidP="003A11F4">
      <w:pPr>
        <w:widowControl w:val="0"/>
        <w:spacing w:line="360" w:lineRule="auto"/>
        <w:ind w:firstLine="709"/>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A11F4" w:rsidRDefault="0019090F" w:rsidP="003A11F4">
      <w:pPr>
        <w:widowControl w:val="0"/>
        <w:spacing w:line="360" w:lineRule="auto"/>
        <w:ind w:firstLine="709"/>
        <w:jc w:val="both"/>
        <w:rPr>
          <w:snapToGrid w:val="0"/>
          <w:sz w:val="24"/>
          <w:szCs w:val="24"/>
        </w:rPr>
      </w:pPr>
      <w:r w:rsidRPr="0019090F">
        <w:rPr>
          <w:snapToGrid w:val="0"/>
          <w:sz w:val="24"/>
          <w:szCs w:val="24"/>
        </w:rPr>
        <w:t xml:space="preserve">Закрытый паевой инвестиционный фонд финансовых инструментов «ТКБ Инвестмент Партнерс – Хеджевый фонд». </w:t>
      </w:r>
      <w:r w:rsidR="003A11F4">
        <w:rPr>
          <w:snapToGrid w:val="0"/>
          <w:sz w:val="24"/>
          <w:szCs w:val="24"/>
        </w:rPr>
        <w:t>(Правила доверительного управления фондом зарегистрированы ФСФР России 16.04.2013 за № 2584).</w:t>
      </w:r>
    </w:p>
    <w:p w:rsidR="003A11F4" w:rsidRDefault="003A11F4" w:rsidP="003A11F4">
      <w:pPr>
        <w:widowControl w:val="0"/>
        <w:spacing w:line="360" w:lineRule="auto"/>
        <w:ind w:firstLine="709"/>
        <w:jc w:val="both"/>
        <w:rPr>
          <w:snapToGrid w:val="0"/>
          <w:sz w:val="20"/>
          <w:szCs w:val="20"/>
        </w:rPr>
      </w:pPr>
      <w:r>
        <w:rPr>
          <w:snapToGrid w:val="0"/>
          <w:sz w:val="24"/>
          <w:szCs w:val="24"/>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w:t>
      </w:r>
    </w:p>
    <w:p w:rsidR="003A11F4" w:rsidRDefault="003A11F4" w:rsidP="003A11F4">
      <w:pPr>
        <w:widowControl w:val="0"/>
        <w:spacing w:line="360" w:lineRule="auto"/>
        <w:ind w:firstLine="709"/>
        <w:jc w:val="both"/>
        <w:rPr>
          <w:snapToGrid w:val="0"/>
          <w:sz w:val="24"/>
          <w:szCs w:val="24"/>
        </w:rPr>
      </w:pPr>
      <w:r>
        <w:rPr>
          <w:snapToGrid w:val="0"/>
          <w:sz w:val="24"/>
          <w:szCs w:val="24"/>
        </w:rPr>
        <w:t>Правилами доверительного управления паевым инвестиционным фондом предусмотрены надбавки к расчетной стоимости инвестиционных паев при их выдаче. Взимание надбавок уменьшит доходность инвестиций в инвестиционные паи паевого инвестиционного фонда.</w:t>
      </w:r>
    </w:p>
    <w:p w:rsidR="003A11F4" w:rsidRDefault="003A11F4" w:rsidP="003A11F4">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4D63B3" w:rsidRDefault="004D63B3" w:rsidP="003A11F4">
      <w:pPr>
        <w:ind w:firstLine="709"/>
        <w:jc w:val="both"/>
        <w:rPr>
          <w:snapToGrid w:val="0"/>
          <w:sz w:val="28"/>
          <w:szCs w:val="28"/>
        </w:rPr>
      </w:pPr>
    </w:p>
    <w:p w:rsidR="004D63B3" w:rsidRDefault="004D63B3" w:rsidP="003A11F4">
      <w:pPr>
        <w:ind w:firstLine="709"/>
        <w:jc w:val="both"/>
        <w:rPr>
          <w:snapToGrid w:val="0"/>
          <w:sz w:val="28"/>
          <w:szCs w:val="28"/>
        </w:rPr>
      </w:pPr>
    </w:p>
    <w:p w:rsidR="004D63B3" w:rsidRDefault="004D63B3" w:rsidP="003A11F4">
      <w:pPr>
        <w:ind w:firstLine="709"/>
        <w:jc w:val="both"/>
        <w:rPr>
          <w:snapToGrid w:val="0"/>
          <w:sz w:val="28"/>
          <w:szCs w:val="28"/>
        </w:rPr>
      </w:pPr>
    </w:p>
    <w:p w:rsidR="004D63B3" w:rsidRDefault="004D63B3" w:rsidP="003A11F4">
      <w:pPr>
        <w:ind w:firstLine="709"/>
        <w:jc w:val="both"/>
        <w:rPr>
          <w:snapToGrid w:val="0"/>
          <w:sz w:val="28"/>
          <w:szCs w:val="28"/>
        </w:rPr>
      </w:pPr>
      <w:bookmarkStart w:id="0" w:name="_GoBack"/>
      <w:bookmarkEnd w:id="0"/>
    </w:p>
    <w:p w:rsidR="003A11F4" w:rsidRDefault="003A11F4"/>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1A1DE0">
              <w:rPr>
                <w:rFonts w:ascii="Verdana" w:hAnsi="Verdana"/>
                <w:sz w:val="22"/>
                <w:szCs w:val="22"/>
              </w:rPr>
              <w:t>1</w:t>
            </w:r>
            <w:r w:rsidR="00903B37">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1A1DE0">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4D63B3"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1A1DE0">
              <w:rPr>
                <w:rFonts w:ascii="Verdana" w:hAnsi="Verdana"/>
                <w:sz w:val="22"/>
                <w:szCs w:val="22"/>
              </w:rPr>
              <w:t>1</w:t>
            </w:r>
            <w:r w:rsidR="00903B37">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1A1DE0">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4D63B3"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ТКБ Инвестмент Партнерс</w:t>
            </w:r>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4D63B3" w:rsidP="009055E6">
      <w:pPr>
        <w:spacing w:after="0" w:line="360" w:lineRule="auto"/>
        <w:jc w:val="both"/>
        <w:rPr>
          <w:rFonts w:ascii="Verdana" w:hAnsi="Verdana"/>
          <w:snapToGrid w:val="0"/>
        </w:rPr>
      </w:pPr>
    </w:p>
    <w:p w:rsidR="009055E6" w:rsidRPr="00D13CDE" w:rsidRDefault="004D63B3" w:rsidP="009055E6">
      <w:pPr>
        <w:spacing w:after="0" w:line="360" w:lineRule="auto"/>
        <w:jc w:val="both"/>
        <w:rPr>
          <w:rFonts w:ascii="Verdana" w:hAnsi="Verdana"/>
          <w:snapToGrid w:val="0"/>
        </w:rPr>
      </w:pPr>
    </w:p>
    <w:p w:rsidR="009055E6" w:rsidRDefault="004D63B3"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4D63B3" w:rsidP="009055E6">
      <w:pPr>
        <w:tabs>
          <w:tab w:val="left" w:pos="8364"/>
        </w:tabs>
        <w:spacing w:after="0" w:line="360" w:lineRule="auto"/>
        <w:jc w:val="both"/>
        <w:outlineLvl w:val="0"/>
        <w:rPr>
          <w:rFonts w:ascii="Verdana" w:hAnsi="Verdana"/>
          <w:b/>
          <w:snapToGrid w:val="0"/>
          <w:sz w:val="28"/>
          <w:szCs w:val="28"/>
        </w:rPr>
      </w:pPr>
    </w:p>
    <w:p w:rsidR="004B182B" w:rsidRPr="00340144" w:rsidRDefault="004B182B" w:rsidP="004B182B">
      <w:pPr>
        <w:tabs>
          <w:tab w:val="left" w:pos="8364"/>
        </w:tabs>
        <w:spacing w:line="360" w:lineRule="auto"/>
        <w:jc w:val="both"/>
        <w:outlineLvl w:val="0"/>
        <w:rPr>
          <w:rFonts w:ascii="Verdana" w:hAnsi="Verdana"/>
          <w:snapToGrid w:val="0"/>
          <w:vertAlign w:val="superscript"/>
        </w:rPr>
      </w:pPr>
      <w:r>
        <w:rPr>
          <w:rFonts w:ascii="Verdana" w:hAnsi="Verdana"/>
          <w:snapToGrid w:val="0"/>
          <w:sz w:val="26"/>
          <w:szCs w:val="26"/>
          <w:u w:val="single"/>
        </w:rPr>
        <w:t>ЗАКРЫТЫЙ</w:t>
      </w:r>
      <w:r w:rsidRPr="00340144">
        <w:rPr>
          <w:rFonts w:ascii="Verdana" w:hAnsi="Verdana"/>
          <w:snapToGrid w:val="0"/>
          <w:sz w:val="26"/>
          <w:szCs w:val="26"/>
          <w:u w:val="single"/>
        </w:rPr>
        <w:t xml:space="preserve"> ПАЕВОЙ ИНВЕСТИЦИОННЫЙ ФОНД </w:t>
      </w:r>
      <w:r>
        <w:rPr>
          <w:rFonts w:ascii="Verdana" w:hAnsi="Verdana"/>
          <w:snapToGrid w:val="0"/>
          <w:sz w:val="26"/>
          <w:szCs w:val="26"/>
          <w:u w:val="single"/>
        </w:rPr>
        <w:t xml:space="preserve">ФИНАНСОВЫХ ИНСТРУМЕНТОВ </w:t>
      </w:r>
      <w:r w:rsidRPr="00340144">
        <w:rPr>
          <w:rFonts w:ascii="Verdana" w:hAnsi="Verdana"/>
          <w:snapToGrid w:val="0"/>
          <w:sz w:val="26"/>
          <w:szCs w:val="26"/>
          <w:u w:val="single"/>
        </w:rPr>
        <w:t>«ТКБ ИНВЕСТМЕНТ ПАРТНЕРС - ХЕДЖЕВЫЙ ФОНД»</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Default="004D63B3" w:rsidP="009055E6">
      <w:pPr>
        <w:tabs>
          <w:tab w:val="left" w:pos="8364"/>
        </w:tabs>
        <w:spacing w:after="0" w:line="360" w:lineRule="auto"/>
        <w:jc w:val="both"/>
        <w:outlineLvl w:val="0"/>
        <w:rPr>
          <w:rFonts w:ascii="Verdana" w:hAnsi="Verdana"/>
          <w:snapToGrid w:val="0"/>
        </w:rPr>
      </w:pPr>
    </w:p>
    <w:p w:rsidR="004B182B" w:rsidRPr="006B02D8" w:rsidRDefault="004B182B" w:rsidP="004B182B">
      <w:pPr>
        <w:widowControl w:val="0"/>
        <w:spacing w:line="360" w:lineRule="auto"/>
        <w:jc w:val="center"/>
        <w:rPr>
          <w:b/>
          <w:snapToGrid w:val="0"/>
          <w:sz w:val="24"/>
          <w:szCs w:val="24"/>
        </w:rPr>
      </w:pPr>
      <w:r w:rsidRPr="006B02D8">
        <w:rPr>
          <w:b/>
          <w:snapToGrid w:val="0"/>
          <w:sz w:val="24"/>
          <w:szCs w:val="24"/>
        </w:rPr>
        <w:t>(паи фонда предназначены для квалифицированных инвесторов)</w:t>
      </w:r>
    </w:p>
    <w:p w:rsidR="009055E6" w:rsidRDefault="004D63B3" w:rsidP="009055E6">
      <w:pPr>
        <w:tabs>
          <w:tab w:val="left" w:pos="8364"/>
        </w:tabs>
        <w:spacing w:after="0" w:line="360" w:lineRule="auto"/>
        <w:jc w:val="both"/>
        <w:outlineLvl w:val="0"/>
        <w:rPr>
          <w:rFonts w:ascii="Verdana" w:hAnsi="Verdana"/>
          <w:snapToGrid w:val="0"/>
        </w:rPr>
      </w:pPr>
    </w:p>
    <w:p w:rsidR="009055E6" w:rsidRDefault="004D63B3" w:rsidP="009055E6">
      <w:pPr>
        <w:tabs>
          <w:tab w:val="left" w:pos="8364"/>
        </w:tabs>
        <w:spacing w:after="0" w:line="360" w:lineRule="auto"/>
        <w:jc w:val="both"/>
        <w:outlineLvl w:val="0"/>
        <w:rPr>
          <w:rFonts w:ascii="Verdana" w:hAnsi="Verdana"/>
          <w:snapToGrid w:val="0"/>
          <w:vertAlign w:val="superscript"/>
        </w:rPr>
      </w:pPr>
    </w:p>
    <w:p w:rsidR="009055E6" w:rsidRDefault="004D63B3" w:rsidP="009055E6"/>
    <w:p w:rsidR="009055E6" w:rsidRDefault="004D63B3" w:rsidP="009055E6"/>
    <w:p w:rsidR="009055E6" w:rsidRDefault="004D63B3" w:rsidP="009055E6"/>
    <w:p w:rsidR="009055E6" w:rsidRDefault="004D63B3" w:rsidP="009055E6"/>
    <w:p w:rsidR="009055E6" w:rsidRDefault="004D63B3" w:rsidP="009055E6"/>
    <w:p w:rsidR="009055E6" w:rsidRDefault="004D63B3"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6D35C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371A71">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F26B2">
        <w:rPr>
          <w:rFonts w:ascii="Times New Roman" w:hAnsi="Times New Roman"/>
          <w:sz w:val="24"/>
          <w:szCs w:val="24"/>
        </w:rPr>
        <w:t>Закрытого</w:t>
      </w:r>
      <w:r w:rsidR="00BF26B2" w:rsidRPr="008C0B13">
        <w:rPr>
          <w:rFonts w:ascii="Times New Roman" w:hAnsi="Times New Roman"/>
          <w:sz w:val="24"/>
          <w:szCs w:val="24"/>
        </w:rPr>
        <w:t xml:space="preserve"> </w:t>
      </w:r>
      <w:r w:rsidR="00B5385E" w:rsidRPr="008C0B13">
        <w:rPr>
          <w:rFonts w:ascii="Times New Roman" w:hAnsi="Times New Roman"/>
          <w:sz w:val="24"/>
          <w:szCs w:val="24"/>
        </w:rPr>
        <w:t>паевого инвестиционного фонда финансовых инструментов «ТКБ Инвестмент Партнерс –</w:t>
      </w:r>
      <w:r w:rsidR="0020707B">
        <w:rPr>
          <w:rFonts w:ascii="Times New Roman" w:hAnsi="Times New Roman"/>
          <w:sz w:val="24"/>
          <w:szCs w:val="24"/>
        </w:rPr>
        <w:t xml:space="preserve"> </w:t>
      </w:r>
      <w:r w:rsidR="00A94286">
        <w:rPr>
          <w:rFonts w:ascii="Times New Roman" w:hAnsi="Times New Roman"/>
          <w:sz w:val="24"/>
          <w:szCs w:val="24"/>
        </w:rPr>
        <w:t>Хеджевый фонд</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371A71"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CUR/USD – цена по сделкам spot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903B37" w:rsidRDefault="00903B37" w:rsidP="00903B37">
      <w:pPr>
        <w:spacing w:line="360" w:lineRule="auto"/>
        <w:ind w:firstLine="567"/>
        <w:jc w:val="both"/>
        <w:rPr>
          <w:rFonts w:ascii="Times New Roman" w:hAnsi="Times New Roman"/>
          <w:sz w:val="24"/>
          <w:szCs w:val="24"/>
        </w:rPr>
      </w:pPr>
      <w:r w:rsidRPr="00903B37">
        <w:rPr>
          <w:rFonts w:ascii="Times New Roman" w:hAnsi="Times New Roman"/>
          <w:sz w:val="24"/>
          <w:szCs w:val="24"/>
        </w:rPr>
        <w:t xml:space="preserve"> </w:t>
      </w:r>
      <w:r w:rsidRPr="00865820">
        <w:rPr>
          <w:rFonts w:ascii="Times New Roman" w:hAnsi="Times New Roman"/>
          <w:sz w:val="24"/>
          <w:szCs w:val="24"/>
        </w:rPr>
        <w:t>В случае отсутствия данных в отношении кросс-курсов, Управляющая компания имеет право использовать кросс-курс по данным информационного агентства Сбондс (Cbonds.ru) или других источников на дату определения СЧА (в случае отсутствия курса информационного агентства Cbonds) на основании экспертного (мотивированного) суждения.</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371A71" w:rsidRPr="00AF28DB" w:rsidRDefault="00371A71" w:rsidP="00371A71">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4D63B3" w:rsidP="009055E6">
      <w:pPr>
        <w:rPr>
          <w:rFonts w:ascii="Times New Roman" w:hAnsi="Times New Roman"/>
          <w:sz w:val="24"/>
          <w:szCs w:val="24"/>
        </w:rPr>
      </w:pPr>
    </w:p>
    <w:p w:rsidR="00D94BE6" w:rsidRDefault="004D63B3"/>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4D63B3" w:rsidP="00343987">
      <w:pPr>
        <w:spacing w:line="360" w:lineRule="auto"/>
        <w:rPr>
          <w:rFonts w:ascii="Times New Roman" w:hAnsi="Times New Roman"/>
          <w:sz w:val="24"/>
          <w:szCs w:val="24"/>
        </w:rPr>
      </w:pPr>
    </w:p>
    <w:p w:rsidR="009055E6" w:rsidRPr="00343987" w:rsidRDefault="004D63B3" w:rsidP="00343987">
      <w:pPr>
        <w:spacing w:line="360" w:lineRule="auto"/>
        <w:rPr>
          <w:rFonts w:ascii="Times New Roman" w:hAnsi="Times New Roman"/>
          <w:sz w:val="24"/>
          <w:szCs w:val="24"/>
        </w:rPr>
      </w:pPr>
    </w:p>
    <w:p w:rsidR="004C47F3" w:rsidRPr="00343987" w:rsidRDefault="004D63B3" w:rsidP="00343987">
      <w:pPr>
        <w:spacing w:line="360" w:lineRule="auto"/>
        <w:rPr>
          <w:rFonts w:ascii="Times New Roman" w:hAnsi="Times New Roman"/>
          <w:sz w:val="24"/>
          <w:szCs w:val="24"/>
        </w:rPr>
      </w:pPr>
    </w:p>
    <w:p w:rsidR="004C47F3" w:rsidRDefault="004D63B3"/>
    <w:p w:rsidR="009055E6" w:rsidRPr="00AD1D42"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EA5E8C">
        <w:rPr>
          <w:rFonts w:ascii="Times New Roman" w:hAnsi="Times New Roman"/>
          <w:sz w:val="24"/>
          <w:szCs w:val="24"/>
        </w:rPr>
        <w:t>Закрытого</w:t>
      </w:r>
      <w:r w:rsidR="00EA5E8C" w:rsidRPr="008C0B13">
        <w:rPr>
          <w:rFonts w:ascii="Times New Roman" w:hAnsi="Times New Roman"/>
          <w:sz w:val="24"/>
          <w:szCs w:val="24"/>
        </w:rPr>
        <w:t xml:space="preserve"> </w:t>
      </w:r>
      <w:r w:rsidR="00B5385E" w:rsidRPr="008C0B13">
        <w:rPr>
          <w:rFonts w:ascii="Times New Roman" w:hAnsi="Times New Roman"/>
          <w:sz w:val="24"/>
          <w:szCs w:val="24"/>
        </w:rPr>
        <w:t>паевого инвестиционного фонда финансовых инструментов «ТКБ Инвестмент Партнерс –</w:t>
      </w:r>
      <w:r w:rsidR="00130F87">
        <w:rPr>
          <w:rFonts w:ascii="Times New Roman" w:hAnsi="Times New Roman"/>
          <w:sz w:val="24"/>
          <w:szCs w:val="24"/>
        </w:rPr>
        <w:t xml:space="preserve"> </w:t>
      </w:r>
      <w:r w:rsidR="00EA5E8C">
        <w:rPr>
          <w:rFonts w:ascii="Times New Roman" w:hAnsi="Times New Roman"/>
          <w:sz w:val="24"/>
          <w:szCs w:val="24"/>
        </w:rPr>
        <w:t>Хеджевый фонд</w:t>
      </w:r>
      <w:r w:rsidR="008C0B13" w:rsidRPr="008C0B13">
        <w:rPr>
          <w:rFonts w:ascii="Times New Roman" w:hAnsi="Times New Roman"/>
          <w:sz w:val="24"/>
          <w:szCs w:val="24"/>
        </w:rPr>
        <w:t>»</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371A71">
        <w:rPr>
          <w:rFonts w:ascii="Times New Roman" w:hAnsi="Times New Roman"/>
          <w:sz w:val="24"/>
          <w:szCs w:val="24"/>
        </w:rPr>
        <w:t>2</w:t>
      </w:r>
      <w:r w:rsidR="00903B37">
        <w:rPr>
          <w:rFonts w:ascii="Times New Roman" w:hAnsi="Times New Roman"/>
          <w:sz w:val="24"/>
          <w:szCs w:val="24"/>
        </w:rPr>
        <w:t>5</w:t>
      </w:r>
      <w:r w:rsidRPr="00AD1D42">
        <w:rPr>
          <w:rFonts w:ascii="Times New Roman" w:hAnsi="Times New Roman"/>
          <w:sz w:val="24"/>
          <w:szCs w:val="24"/>
        </w:rPr>
        <w:t xml:space="preserve">» </w:t>
      </w:r>
      <w:r w:rsidR="001B4F1E" w:rsidRPr="00AD1D42">
        <w:rPr>
          <w:rFonts w:ascii="Times New Roman" w:hAnsi="Times New Roman"/>
          <w:sz w:val="24"/>
          <w:szCs w:val="24"/>
        </w:rPr>
        <w:t>ию</w:t>
      </w:r>
      <w:r w:rsidR="00371A71">
        <w:rPr>
          <w:rFonts w:ascii="Times New Roman" w:hAnsi="Times New Roman"/>
          <w:sz w:val="24"/>
          <w:szCs w:val="24"/>
        </w:rPr>
        <w:t>н</w:t>
      </w:r>
      <w:r w:rsidR="001B4F1E" w:rsidRPr="00AD1D42">
        <w:rPr>
          <w:rFonts w:ascii="Times New Roman" w:hAnsi="Times New Roman"/>
          <w:sz w:val="24"/>
          <w:szCs w:val="24"/>
        </w:rPr>
        <w:t>я</w:t>
      </w:r>
      <w:r w:rsidRPr="00AD1D42">
        <w:rPr>
          <w:rFonts w:ascii="Times New Roman" w:hAnsi="Times New Roman"/>
          <w:sz w:val="24"/>
          <w:szCs w:val="24"/>
        </w:rPr>
        <w:t xml:space="preserve"> 202</w:t>
      </w:r>
      <w:r w:rsidR="00371A71">
        <w:rPr>
          <w:rFonts w:ascii="Times New Roman" w:hAnsi="Times New Roman"/>
          <w:sz w:val="24"/>
          <w:szCs w:val="24"/>
        </w:rPr>
        <w:t>4</w:t>
      </w:r>
      <w:r w:rsidRPr="00AD1D42">
        <w:rPr>
          <w:rFonts w:ascii="Times New Roman" w:hAnsi="Times New Roman"/>
          <w:sz w:val="24"/>
          <w:szCs w:val="24"/>
        </w:rPr>
        <w:t xml:space="preserve"> г.</w:t>
      </w:r>
    </w:p>
    <w:sectPr w:rsidR="009055E6" w:rsidRPr="00AD1D42">
      <w:headerReference w:type="even"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30F87"/>
    <w:rsid w:val="001868DC"/>
    <w:rsid w:val="0019090F"/>
    <w:rsid w:val="001A1DE0"/>
    <w:rsid w:val="001B4F1E"/>
    <w:rsid w:val="0020707B"/>
    <w:rsid w:val="0025276A"/>
    <w:rsid w:val="002E340C"/>
    <w:rsid w:val="00343987"/>
    <w:rsid w:val="00371A71"/>
    <w:rsid w:val="00383983"/>
    <w:rsid w:val="003A11F4"/>
    <w:rsid w:val="003B13E7"/>
    <w:rsid w:val="003D115B"/>
    <w:rsid w:val="004B182B"/>
    <w:rsid w:val="004D63B3"/>
    <w:rsid w:val="005901F0"/>
    <w:rsid w:val="005D502E"/>
    <w:rsid w:val="005E451F"/>
    <w:rsid w:val="005F1473"/>
    <w:rsid w:val="0062349B"/>
    <w:rsid w:val="00644332"/>
    <w:rsid w:val="006A1535"/>
    <w:rsid w:val="006D35C2"/>
    <w:rsid w:val="006D4A39"/>
    <w:rsid w:val="006F2908"/>
    <w:rsid w:val="0070251E"/>
    <w:rsid w:val="00713649"/>
    <w:rsid w:val="00771F18"/>
    <w:rsid w:val="007763CE"/>
    <w:rsid w:val="007F4CB4"/>
    <w:rsid w:val="00891F97"/>
    <w:rsid w:val="008C0B13"/>
    <w:rsid w:val="008C1EDE"/>
    <w:rsid w:val="00903B37"/>
    <w:rsid w:val="00A145CC"/>
    <w:rsid w:val="00A31AF5"/>
    <w:rsid w:val="00A419E6"/>
    <w:rsid w:val="00A45A82"/>
    <w:rsid w:val="00A835D8"/>
    <w:rsid w:val="00A94286"/>
    <w:rsid w:val="00A96123"/>
    <w:rsid w:val="00AB7618"/>
    <w:rsid w:val="00AD1D42"/>
    <w:rsid w:val="00AF62D6"/>
    <w:rsid w:val="00B0422C"/>
    <w:rsid w:val="00B5385E"/>
    <w:rsid w:val="00B72177"/>
    <w:rsid w:val="00BC117C"/>
    <w:rsid w:val="00BC3C6F"/>
    <w:rsid w:val="00BF26B2"/>
    <w:rsid w:val="00C40295"/>
    <w:rsid w:val="00C70340"/>
    <w:rsid w:val="00CA54EA"/>
    <w:rsid w:val="00CC7546"/>
    <w:rsid w:val="00D141EC"/>
    <w:rsid w:val="00D16463"/>
    <w:rsid w:val="00D50A23"/>
    <w:rsid w:val="00DC4C51"/>
    <w:rsid w:val="00E21383"/>
    <w:rsid w:val="00E36529"/>
    <w:rsid w:val="00E71D2A"/>
    <w:rsid w:val="00E736AC"/>
    <w:rsid w:val="00EA275D"/>
    <w:rsid w:val="00EA5E8C"/>
    <w:rsid w:val="00F32DC2"/>
    <w:rsid w:val="00FC5B18"/>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E1F69EC"/>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iPriority w:val="99"/>
    <w:unhideWhenUsed/>
    <w:rsid w:val="00FE4544"/>
    <w:pPr>
      <w:spacing w:after="0" w:line="240" w:lineRule="auto"/>
    </w:pPr>
    <w:rPr>
      <w:sz w:val="20"/>
      <w:szCs w:val="20"/>
    </w:rPr>
  </w:style>
  <w:style w:type="character" w:customStyle="1" w:styleId="ae">
    <w:name w:val="Текст сноски Знак"/>
    <w:basedOn w:val="a1"/>
    <w:link w:val="ad"/>
    <w:uiPriority w:val="99"/>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126">
      <w:bodyDiv w:val="1"/>
      <w:marLeft w:val="0"/>
      <w:marRight w:val="0"/>
      <w:marTop w:val="0"/>
      <w:marBottom w:val="0"/>
      <w:divBdr>
        <w:top w:val="none" w:sz="0" w:space="0" w:color="auto"/>
        <w:left w:val="none" w:sz="0" w:space="0" w:color="auto"/>
        <w:bottom w:val="none" w:sz="0" w:space="0" w:color="auto"/>
        <w:right w:val="none" w:sz="0" w:space="0" w:color="auto"/>
      </w:divBdr>
    </w:div>
    <w:div w:id="8623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5781-A9B0-4810-A7BF-27C0EAD1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9</cp:revision>
  <dcterms:created xsi:type="dcterms:W3CDTF">2024-06-13T14:10:00Z</dcterms:created>
  <dcterms:modified xsi:type="dcterms:W3CDTF">2024-06-17T13:14:00Z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